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</w:pPr>
      <w:r>
        <w:rPr>
          <w:rFonts w:ascii="Aptos Display" w:hAnsi="Aptos Display"/>
          <w:b/>
          <w:i w:val="0"/>
          <w:color w:val="0B2545"/>
          <w:sz w:val="48"/>
        </w:rPr>
        <w:t>ALEX CINOVOJ</w:t>
      </w:r>
    </w:p>
    <w:p>
      <w:pPr>
        <w:spacing w:after="60"/>
      </w:pPr>
      <w:r>
        <w:rPr>
          <w:rFonts w:ascii="Aptos" w:hAnsi="Aptos"/>
          <w:b/>
          <w:i w:val="0"/>
          <w:color w:val="00A6A6"/>
          <w:sz w:val="20"/>
        </w:rPr>
        <w:t>DATA PIPELINE &amp; SYSTEMS INTEGRATION ENGINEER</w:t>
      </w:r>
    </w:p>
    <w:p>
      <w:pPr>
        <w:spacing w:after="160"/>
        <w:pBdr>
          <w:bottom w:val="single" w:sz="16" w:space="8" w:color="00A6A6"/>
        </w:pBdr>
      </w:pPr>
      <w:r>
        <w:rPr>
          <w:rFonts w:ascii="Aptos" w:hAnsi="Aptos"/>
          <w:b w:val="0"/>
          <w:i w:val="0"/>
          <w:color w:val="52616B"/>
          <w:sz w:val="17"/>
        </w:rPr>
        <w:t>Columbus, Ohio  |  linkedin.com/in/alexcinovoj  |  Available for 1099 contract engagements</w:t>
      </w:r>
    </w:p>
    <w:p>
      <w:pPr>
        <w:spacing w:before="140" w:after="80" w:line="264" w:lineRule="auto"/>
      </w:pPr>
      <w:r>
        <w:rPr>
          <w:rFonts w:ascii="Aptos" w:hAnsi="Aptos"/>
          <w:b w:val="0"/>
          <w:i w:val="0"/>
          <w:color w:val="17212B"/>
          <w:sz w:val="19"/>
        </w:rPr>
        <w:t>Systems engineer and AI-native software builder with 13 years across enterprise IT, managed services, production support, cloud systems, and backend workflows. Brings the operational discipline to stabilize the unglamorous parts of a system: data movement, access, validation, incident response, documentation, and the handoff between vendors and internal teams.</w:t>
      </w:r>
    </w:p>
    <w:p>
      <w:pPr>
        <w:spacing w:before="180" w:after="60"/>
        <w:pBdr>
          <w:bottom w:val="single" w:sz="6" w:space="8" w:color="BED4E4"/>
        </w:pBdr>
      </w:pPr>
      <w:r>
        <w:rPr>
          <w:rFonts w:ascii="Aptos" w:hAnsi="Aptos"/>
          <w:b/>
          <w:i w:val="0"/>
          <w:color w:val="1F5F99"/>
          <w:sz w:val="18"/>
        </w:rPr>
        <w:t>RELEVANT CAPABILITY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Ind w:w="120" w:type="dxa"/>
      </w:tblPr>
      <w:tblGrid>
        <w:gridCol w:w="1800"/>
        <w:gridCol w:w="7560"/>
      </w:tblGrid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vAlign w:val="top"/>
            <w:shd w:fill="EAF1F6"/>
          </w:tcPr>
          <w:p>
            <w:pPr>
              <w:spacing w:after="0"/>
            </w:pPr>
            <w:r>
              <w:rPr>
                <w:rFonts w:ascii="Aptos" w:hAnsi="Aptos"/>
                <w:b/>
                <w:i w:val="0"/>
                <w:color w:val="0B2545"/>
                <w:sz w:val="16"/>
              </w:rPr>
              <w:t>Data &amp; integration</w:t>
            </w:r>
          </w:p>
        </w:tc>
        <w:tc>
          <w:tcPr>
            <w:tcW w:type="dxa" w:w="756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rFonts w:ascii="Aptos" w:hAnsi="Aptos"/>
                <w:b w:val="0"/>
                <w:i w:val="0"/>
                <w:color w:val="17212B"/>
                <w:sz w:val="16"/>
              </w:rPr>
              <w:t>PostgreSQL, Supabase/Postgres, API integrations, ETL/ELT workflows, schema design, migration planning, validation and reconciliation</w:t>
            </w:r>
          </w:p>
        </w:tc>
      </w:tr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vAlign w:val="top"/>
            <w:shd w:fill="EAF1F6"/>
          </w:tcPr>
          <w:p>
            <w:pPr>
              <w:spacing w:after="0"/>
            </w:pPr>
            <w:r>
              <w:rPr>
                <w:rFonts w:ascii="Aptos" w:hAnsi="Aptos"/>
                <w:b/>
                <w:i w:val="0"/>
                <w:color w:val="0B2545"/>
                <w:sz w:val="16"/>
              </w:rPr>
              <w:t>Application &amp; cloud</w:t>
            </w:r>
          </w:p>
        </w:tc>
        <w:tc>
          <w:tcPr>
            <w:tcW w:type="dxa" w:w="756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rFonts w:ascii="Aptos" w:hAnsi="Aptos"/>
                <w:b w:val="0"/>
                <w:i w:val="0"/>
                <w:color w:val="17212B"/>
                <w:sz w:val="16"/>
              </w:rPr>
              <w:t>Next.js, TypeScript, Node.js, AWS S3, secure web workflows, role-based access patterns, production release controls</w:t>
            </w:r>
          </w:p>
        </w:tc>
      </w:tr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vAlign w:val="top"/>
            <w:shd w:fill="EAF1F6"/>
          </w:tcPr>
          <w:p>
            <w:pPr>
              <w:spacing w:after="0"/>
            </w:pPr>
            <w:r>
              <w:rPr>
                <w:rFonts w:ascii="Aptos" w:hAnsi="Aptos"/>
                <w:b/>
                <w:i w:val="0"/>
                <w:color w:val="0B2545"/>
                <w:sz w:val="16"/>
              </w:rPr>
              <w:t>AI-native development</w:t>
            </w:r>
          </w:p>
        </w:tc>
        <w:tc>
          <w:tcPr>
            <w:tcW w:type="dxa" w:w="756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rFonts w:ascii="Aptos" w:hAnsi="Aptos"/>
                <w:b w:val="0"/>
                <w:i w:val="0"/>
                <w:color w:val="17212B"/>
                <w:sz w:val="16"/>
              </w:rPr>
              <w:t>Expert: Claude and Claude Code; ChatGPT and OpenAI Codex. Advanced: Cursor. Agents, skills, MCP, prompt systems, code review, and AI-assisted full-stack delivery.</w:t>
            </w:r>
          </w:p>
        </w:tc>
      </w:tr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vAlign w:val="top"/>
            <w:shd w:fill="EAF1F6"/>
          </w:tcPr>
          <w:p>
            <w:pPr>
              <w:spacing w:after="0"/>
            </w:pPr>
            <w:r>
              <w:rPr>
                <w:rFonts w:ascii="Aptos" w:hAnsi="Aptos"/>
                <w:b/>
                <w:i w:val="0"/>
                <w:color w:val="0B2545"/>
                <w:sz w:val="16"/>
              </w:rPr>
              <w:t>Operations &amp; delivery</w:t>
            </w:r>
          </w:p>
        </w:tc>
        <w:tc>
          <w:tcPr>
            <w:tcW w:type="dxa" w:w="756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rFonts w:ascii="Aptos" w:hAnsi="Aptos"/>
                <w:b w:val="0"/>
                <w:i w:val="0"/>
                <w:color w:val="17212B"/>
                <w:sz w:val="16"/>
              </w:rPr>
              <w:t>MSP escalation, incident triage, vendor coordination, environment documentation, observability, workflow hardening</w:t>
            </w:r>
          </w:p>
        </w:tc>
      </w:tr>
    </w:tbl>
    <w:p>
      <w:pPr>
        <w:spacing w:before="180" w:after="60"/>
        <w:pBdr>
          <w:bottom w:val="single" w:sz="6" w:space="8" w:color="BED4E4"/>
        </w:pBdr>
      </w:pPr>
      <w:r>
        <w:rPr>
          <w:rFonts w:ascii="Aptos" w:hAnsi="Aptos"/>
          <w:b/>
          <w:i w:val="0"/>
          <w:color w:val="1F5F99"/>
          <w:sz w:val="18"/>
        </w:rPr>
        <w:t>PROFESSIONAL EXPERIENCE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Ind w:w="120" w:type="dxa"/>
      </w:tblPr>
      <w:tblGrid>
        <w:gridCol w:w="7150"/>
        <w:gridCol w:w="2210"/>
      </w:tblGrid>
      <w:tr>
        <w:tc>
          <w:tcPr>
            <w:tcW w:type="dxa" w:w="715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before="80" w:after="20"/>
            </w:pPr>
            <w:r>
              <w:rPr>
                <w:rFonts w:ascii="Aptos" w:hAnsi="Aptos"/>
                <w:b/>
                <w:i w:val="0"/>
                <w:color w:val="0B2545"/>
                <w:sz w:val="19"/>
              </w:rPr>
              <w:t>TechTide AI</w:t>
            </w:r>
            <w:r>
              <w:rPr>
                <w:rFonts w:ascii="Aptos" w:hAnsi="Aptos"/>
                <w:b/>
                <w:i w:val="0"/>
                <w:color w:val="17212B"/>
                <w:sz w:val="18"/>
              </w:rPr>
              <w:t xml:space="preserve">  |  Founder &amp; CTO | AI-Native Systems Engineering</w:t>
            </w:r>
          </w:p>
        </w:tc>
        <w:tc>
          <w:tcPr>
            <w:tcW w:type="dxa" w:w="221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before="80" w:after="20"/>
              <w:jc w:val="right"/>
            </w:pPr>
            <w:r>
              <w:rPr>
                <w:rFonts w:ascii="Aptos" w:hAnsi="Aptos"/>
                <w:b w:val="0"/>
                <w:i w:val="0"/>
                <w:color w:val="52616B"/>
                <w:sz w:val="17"/>
              </w:rPr>
              <w:t>2025–Present</w:t>
            </w:r>
          </w:p>
        </w:tc>
      </w:tr>
    </w:tbl>
    <w:p>
      <w:pPr>
        <w:pStyle w:val="ListBullet"/>
        <w:spacing w:after="32" w:line="254" w:lineRule="auto"/>
        <w:ind w:left="547" w:hanging="230"/>
      </w:pPr>
      <w:r>
        <w:rPr>
          <w:rFonts w:ascii="Aptos" w:hAnsi="Aptos"/>
          <w:b w:val="0"/>
          <w:i w:val="0"/>
          <w:color w:val="17212B"/>
          <w:sz w:val="17"/>
        </w:rPr>
        <w:t>Lead full-stack AI implementation work from architecture through deployment, using Claude Code, Codex, ChatGPT, Cursor, TypeScript, Next.js, APIs, and production controls.</w:t>
      </w:r>
    </w:p>
    <w:p>
      <w:pPr>
        <w:pStyle w:val="ListBullet"/>
        <w:spacing w:after="32" w:line="254" w:lineRule="auto"/>
        <w:ind w:left="547" w:hanging="230"/>
      </w:pPr>
      <w:r>
        <w:rPr>
          <w:rFonts w:ascii="Aptos" w:hAnsi="Aptos"/>
          <w:b w:val="0"/>
          <w:i w:val="0"/>
          <w:color w:val="17212B"/>
          <w:sz w:val="17"/>
        </w:rPr>
        <w:t>Own architecture decisions across application logic, data models, access boundaries, integrations, deployment, operational checks, and client handoff.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Ind w:w="120" w:type="dxa"/>
      </w:tblPr>
      <w:tblGrid>
        <w:gridCol w:w="7150"/>
        <w:gridCol w:w="2210"/>
      </w:tblGrid>
      <w:tr>
        <w:tc>
          <w:tcPr>
            <w:tcW w:type="dxa" w:w="715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before="80" w:after="20"/>
            </w:pPr>
            <w:r>
              <w:rPr>
                <w:rFonts w:ascii="Aptos" w:hAnsi="Aptos"/>
                <w:b/>
                <w:i w:val="0"/>
                <w:color w:val="0B2545"/>
                <w:sz w:val="19"/>
              </w:rPr>
              <w:t>CPG Playbook</w:t>
            </w:r>
            <w:r>
              <w:rPr>
                <w:rFonts w:ascii="Aptos" w:hAnsi="Aptos"/>
                <w:b/>
                <w:i w:val="0"/>
                <w:color w:val="17212B"/>
                <w:sz w:val="18"/>
              </w:rPr>
              <w:t xml:space="preserve">  |  Co-Founder &amp; CTO | AI Product Engineering</w:t>
            </w:r>
          </w:p>
        </w:tc>
        <w:tc>
          <w:tcPr>
            <w:tcW w:type="dxa" w:w="221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before="80" w:after="20"/>
              <w:jc w:val="right"/>
            </w:pPr>
            <w:r>
              <w:rPr>
                <w:rFonts w:ascii="Aptos" w:hAnsi="Aptos"/>
                <w:b w:val="0"/>
                <w:i w:val="0"/>
                <w:color w:val="52616B"/>
                <w:sz w:val="17"/>
              </w:rPr>
              <w:t>2026–Present</w:t>
            </w:r>
          </w:p>
        </w:tc>
      </w:tr>
    </w:tbl>
    <w:p>
      <w:pPr>
        <w:pStyle w:val="ListBullet"/>
        <w:spacing w:after="32" w:line="254" w:lineRule="auto"/>
        <w:ind w:left="547" w:hanging="230"/>
      </w:pPr>
      <w:r>
        <w:rPr>
          <w:rFonts w:ascii="Aptos" w:hAnsi="Aptos"/>
          <w:b w:val="0"/>
          <w:i w:val="0"/>
          <w:color w:val="17212B"/>
          <w:sz w:val="17"/>
        </w:rPr>
        <w:t>Build an AI-powered workflow platform for consumer brands, including product architecture, backend systems, AI interactions, operational controls, and user-facing workflows.</w:t>
      </w:r>
    </w:p>
    <w:p>
      <w:pPr>
        <w:pStyle w:val="ListBullet"/>
        <w:spacing w:after="32" w:line="254" w:lineRule="auto"/>
        <w:ind w:left="547" w:hanging="230"/>
      </w:pPr>
      <w:r>
        <w:rPr>
          <w:rFonts w:ascii="Aptos" w:hAnsi="Aptos"/>
          <w:b w:val="0"/>
          <w:i w:val="0"/>
          <w:color w:val="17212B"/>
          <w:sz w:val="17"/>
        </w:rPr>
        <w:t>Translate operator requirements into phased technical delivery with explicit data, access, and release considerations.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Ind w:w="120" w:type="dxa"/>
      </w:tblPr>
      <w:tblGrid>
        <w:gridCol w:w="7150"/>
        <w:gridCol w:w="2210"/>
      </w:tblGrid>
      <w:tr>
        <w:tc>
          <w:tcPr>
            <w:tcW w:type="dxa" w:w="715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before="80" w:after="20"/>
            </w:pPr>
            <w:r>
              <w:rPr>
                <w:rFonts w:ascii="Aptos" w:hAnsi="Aptos"/>
                <w:b/>
                <w:i w:val="0"/>
                <w:color w:val="0B2545"/>
                <w:sz w:val="19"/>
              </w:rPr>
              <w:t>Enterprise IT &amp; Managed Services</w:t>
            </w:r>
            <w:r>
              <w:rPr>
                <w:rFonts w:ascii="Aptos" w:hAnsi="Aptos"/>
                <w:b/>
                <w:i w:val="0"/>
                <w:color w:val="17212B"/>
                <w:sz w:val="18"/>
              </w:rPr>
              <w:t xml:space="preserve">  |  Systems Engineering, Production Support &amp; Escalation</w:t>
            </w:r>
          </w:p>
        </w:tc>
        <w:tc>
          <w:tcPr>
            <w:tcW w:type="dxa" w:w="221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before="80" w:after="20"/>
              <w:jc w:val="right"/>
            </w:pPr>
            <w:r>
              <w:rPr>
                <w:rFonts w:ascii="Aptos" w:hAnsi="Aptos"/>
                <w:b w:val="0"/>
                <w:i w:val="0"/>
                <w:color w:val="52616B"/>
                <w:sz w:val="17"/>
              </w:rPr>
              <w:t>2013–2025</w:t>
            </w:r>
          </w:p>
        </w:tc>
      </w:tr>
    </w:tbl>
    <w:p>
      <w:pPr>
        <w:pStyle w:val="ListBullet"/>
        <w:spacing w:after="32" w:line="254" w:lineRule="auto"/>
        <w:ind w:left="547" w:hanging="230"/>
      </w:pPr>
      <w:r>
        <w:rPr>
          <w:rFonts w:ascii="Aptos" w:hAnsi="Aptos"/>
          <w:b w:val="0"/>
          <w:i w:val="0"/>
          <w:color w:val="17212B"/>
          <w:sz w:val="17"/>
        </w:rPr>
        <w:t>Progressed through corporate help desk, hospital desktop support and transformation work, systems engineering, and MSP escalation roles.</w:t>
      </w:r>
    </w:p>
    <w:p>
      <w:pPr>
        <w:pStyle w:val="ListBullet"/>
        <w:spacing w:after="32" w:line="254" w:lineRule="auto"/>
        <w:ind w:left="547" w:hanging="230"/>
      </w:pPr>
      <w:r>
        <w:rPr>
          <w:rFonts w:ascii="Aptos" w:hAnsi="Aptos"/>
          <w:b w:val="0"/>
          <w:i w:val="0"/>
          <w:color w:val="17212B"/>
          <w:sz w:val="17"/>
        </w:rPr>
        <w:t>Supported identity, endpoint, networking, Microsoft 365, cloud, security, ticketing, and client environments where downtime and unclear ownership create real business cost.</w:t>
      </w:r>
    </w:p>
    <w:p>
      <w:pPr>
        <w:spacing w:before="180" w:after="60"/>
        <w:pBdr>
          <w:bottom w:val="single" w:sz="6" w:space="8" w:color="BED4E4"/>
        </w:pBdr>
      </w:pPr>
      <w:r>
        <w:rPr>
          <w:rFonts w:ascii="Aptos" w:hAnsi="Aptos"/>
          <w:b/>
          <w:i w:val="0"/>
          <w:color w:val="1F5F99"/>
          <w:sz w:val="18"/>
        </w:rPr>
        <w:t>SELECTED TECHNICAL ENVIRONMENT</w:t>
      </w:r>
    </w:p>
    <w:p>
      <w:pPr>
        <w:spacing w:after="60" w:line="254" w:lineRule="auto"/>
      </w:pPr>
      <w:r>
        <w:rPr>
          <w:rFonts w:ascii="Aptos" w:hAnsi="Aptos"/>
          <w:b/>
          <w:i w:val="0"/>
          <w:color w:val="0B2545"/>
          <w:sz w:val="17"/>
        </w:rPr>
        <w:t xml:space="preserve">AI development: </w:t>
      </w:r>
      <w:r>
        <w:rPr>
          <w:rFonts w:ascii="Aptos" w:hAnsi="Aptos"/>
          <w:b w:val="0"/>
          <w:i w:val="0"/>
          <w:color w:val="17212B"/>
          <w:sz w:val="17"/>
        </w:rPr>
        <w:t>Claude / Claude Code (Expert), ChatGPT / OpenAI Codex (Expert), Cursor (Advanced), agents, MCP, prompt and context engineering</w:t>
      </w:r>
    </w:p>
    <w:p>
      <w:pPr>
        <w:spacing w:after="60" w:line="254" w:lineRule="auto"/>
      </w:pPr>
      <w:r>
        <w:rPr>
          <w:rFonts w:ascii="Aptos" w:hAnsi="Aptos"/>
          <w:b/>
          <w:i w:val="0"/>
          <w:color w:val="0B2545"/>
          <w:sz w:val="17"/>
        </w:rPr>
        <w:t xml:space="preserve">Data &amp; backend: </w:t>
      </w:r>
      <w:r>
        <w:rPr>
          <w:rFonts w:ascii="Aptos" w:hAnsi="Aptos"/>
          <w:b w:val="0"/>
          <w:i w:val="0"/>
          <w:color w:val="17212B"/>
          <w:sz w:val="17"/>
        </w:rPr>
        <w:t>PostgreSQL, Supabase, REST APIs, TypeScript, Node.js, Next.js, data validation, workflow design</w:t>
      </w:r>
    </w:p>
    <w:p>
      <w:pPr>
        <w:spacing w:after="60" w:line="254" w:lineRule="auto"/>
      </w:pPr>
      <w:r>
        <w:rPr>
          <w:rFonts w:ascii="Aptos" w:hAnsi="Aptos"/>
          <w:b/>
          <w:i w:val="0"/>
          <w:color w:val="0B2545"/>
          <w:sz w:val="17"/>
        </w:rPr>
        <w:t xml:space="preserve">Infrastructure &amp; operations: </w:t>
      </w:r>
      <w:r>
        <w:rPr>
          <w:rFonts w:ascii="Aptos" w:hAnsi="Aptos"/>
          <w:b w:val="0"/>
          <w:i w:val="0"/>
          <w:color w:val="17212B"/>
          <w:sz w:val="17"/>
        </w:rPr>
        <w:t>AWS S3, Azure AD, Intune, Microsoft 365, AVD, ServiceNow, Autotask, NinjaOne, UniFi, Blackpoint, ConnectSecure</w:t>
      </w:r>
    </w:p>
    <w:p>
      <w:pPr>
        <w:spacing w:before="40" w:after="0" w:line="254" w:lineRule="auto"/>
      </w:pPr>
      <w:r>
        <w:rPr>
          <w:rFonts w:ascii="Aptos" w:hAnsi="Aptos"/>
          <w:b/>
          <w:i w:val="0"/>
          <w:color w:val="0B2545"/>
          <w:sz w:val="17"/>
        </w:rPr>
        <w:t xml:space="preserve">Professional development: </w:t>
      </w:r>
      <w:r>
        <w:rPr>
          <w:rFonts w:ascii="Aptos" w:hAnsi="Aptos"/>
          <w:b w:val="0"/>
          <w:i w:val="0"/>
          <w:color w:val="17212B"/>
          <w:sz w:val="17"/>
        </w:rPr>
        <w:t>CompTIA A+  |  Lovable Champion (community support role)  |  9 Anthropic Academy course completions</w:t>
      </w:r>
    </w:p>
    <w:sectPr w:rsidR="00FC693F" w:rsidRPr="0006063C" w:rsidSect="00034616">
      <w:footerReference w:type="default" r:id="rId9"/>
      <w:pgSz w:w="12240" w:h="15840"/>
      <w:pgMar w:top="936" w:right="936" w:bottom="893" w:left="936" w:header="461" w:footer="46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  <w:jc w:val="center"/>
    </w:pPr>
    <w:r>
      <w:rPr>
        <w:rFonts w:ascii="Aptos" w:hAnsi="Aptos"/>
        <w:b w:val="0"/>
        <w:i w:val="0"/>
        <w:color w:val="52616B"/>
        <w:sz w:val="15"/>
      </w:rPr>
      <w:t>Alex Cinovoj  |  Contractor resume tailored to data-pipeline and systems-integration work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ptos" w:hAnsi="Aptos"/>
      <w:color w:val="17212B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B2545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1F5F99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/>
      <w:b/>
      <w:bCs/>
      <w:color w:val="17212B"/>
      <w:sz w:val="1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